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>The frequency of cleaning will be driven by the environment in which the beams are installed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66F0" w14:textId="77777777" w:rsidR="00F7324B" w:rsidRDefault="00F7324B">
      <w:r>
        <w:separator/>
      </w:r>
    </w:p>
    <w:p w14:paraId="7621E937" w14:textId="77777777" w:rsidR="00F7324B" w:rsidRDefault="00F7324B"/>
  </w:endnote>
  <w:endnote w:type="continuationSeparator" w:id="0">
    <w:p w14:paraId="36B8F572" w14:textId="77777777" w:rsidR="00F7324B" w:rsidRDefault="00F7324B">
      <w:r>
        <w:continuationSeparator/>
      </w:r>
    </w:p>
    <w:p w14:paraId="70ACF412" w14:textId="77777777" w:rsidR="00F7324B" w:rsidRDefault="00F73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28977DB" w:rsidR="009210BF" w:rsidRDefault="00F7324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C6EF3">
          <w:rPr>
            <w:sz w:val="16"/>
            <w:szCs w:val="16"/>
            <w:lang w:val="en-AU"/>
          </w:rPr>
          <w:t>EOM-ZM0-TP-000116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E01C6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C6EF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C6EF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B878" w14:textId="77777777" w:rsidR="00F7324B" w:rsidRDefault="00F7324B">
      <w:r>
        <w:separator/>
      </w:r>
    </w:p>
    <w:p w14:paraId="50F38EDC" w14:textId="77777777" w:rsidR="00F7324B" w:rsidRDefault="00F7324B"/>
  </w:footnote>
  <w:footnote w:type="continuationSeparator" w:id="0">
    <w:p w14:paraId="1CCAE8A3" w14:textId="77777777" w:rsidR="00F7324B" w:rsidRDefault="00F7324B">
      <w:r>
        <w:continuationSeparator/>
      </w:r>
    </w:p>
    <w:p w14:paraId="2F4B840A" w14:textId="77777777" w:rsidR="00F7324B" w:rsidRDefault="00F73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526DD29" w:rsidR="009210BF" w:rsidRDefault="00E01C6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16EDF13" wp14:editId="14765B51">
                <wp:simplePos x="0" y="0"/>
                <wp:positionH relativeFrom="column">
                  <wp:posOffset>-371475</wp:posOffset>
                </wp:positionH>
                <wp:positionV relativeFrom="paragraph">
                  <wp:posOffset>-6985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0993C6F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 xml:space="preserve">ist - </w:t>
          </w:r>
          <w:r w:rsidR="00BC6EF3" w:rsidRPr="00BC6EF3">
            <w:rPr>
              <w:kern w:val="32"/>
              <w:sz w:val="24"/>
              <w:szCs w:val="24"/>
              <w:lang w:val="en-GB"/>
            </w:rPr>
            <w:t xml:space="preserve"> Municipal</w:t>
          </w:r>
        </w:p>
      </w:tc>
    </w:tr>
  </w:tbl>
  <w:p w14:paraId="0FE4F66F" w14:textId="59538BC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EF3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B6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C6D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324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0E570-B434-4F7B-8CB1-77A608B5C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EOM-ZM0-TP-000116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2021-08-18T08:18:00Z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